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8674D" w14:textId="7DF4B94F" w:rsidR="00664266" w:rsidRDefault="00104F78" w:rsidP="009D047B">
      <w:pPr>
        <w:rPr>
          <w:rFonts w:cs="Arial"/>
        </w:rPr>
      </w:pPr>
      <w:r w:rsidRPr="00B62C83">
        <w:rPr>
          <w:rFonts w:cs="Arial"/>
          <w:b/>
          <w:bCs/>
        </w:rPr>
        <w:t>Opioid Settlement Funds Application Questions:</w:t>
      </w:r>
      <w:r>
        <w:rPr>
          <w:rFonts w:cs="Arial"/>
        </w:rPr>
        <w:t xml:space="preserve">   </w:t>
      </w:r>
      <w:r>
        <w:rPr>
          <w:rFonts w:cs="Arial"/>
        </w:rPr>
        <w:tab/>
      </w:r>
      <w:r>
        <w:rPr>
          <w:rFonts w:cs="Arial"/>
        </w:rPr>
        <w:tab/>
      </w:r>
      <w:r>
        <w:rPr>
          <w:rFonts w:cs="Arial"/>
        </w:rPr>
        <w:tab/>
      </w:r>
      <w:r>
        <w:rPr>
          <w:rFonts w:cs="Arial"/>
        </w:rPr>
        <w:tab/>
      </w:r>
      <w:r w:rsidR="00B62C83">
        <w:rPr>
          <w:rFonts w:cs="Arial"/>
        </w:rPr>
        <w:tab/>
      </w:r>
      <w:r w:rsidR="00B62C83">
        <w:rPr>
          <w:rFonts w:cs="Arial"/>
        </w:rPr>
        <w:tab/>
      </w:r>
      <w:r w:rsidR="00B62C83">
        <w:rPr>
          <w:rFonts w:cs="Arial"/>
        </w:rPr>
        <w:tab/>
      </w:r>
      <w:r w:rsidR="00B62C83">
        <w:rPr>
          <w:rFonts w:cs="Arial"/>
        </w:rPr>
        <w:tab/>
      </w:r>
      <w:r w:rsidR="00B62C83">
        <w:rPr>
          <w:rFonts w:cs="Arial"/>
        </w:rPr>
        <w:tab/>
      </w:r>
      <w:r w:rsidR="00D86877">
        <w:rPr>
          <w:rFonts w:cs="Arial"/>
        </w:rPr>
        <w:tab/>
      </w:r>
      <w:r>
        <w:rPr>
          <w:rFonts w:cs="Arial"/>
        </w:rPr>
        <w:t>8/7/2024</w:t>
      </w:r>
    </w:p>
    <w:p w14:paraId="2A45A794" w14:textId="77777777" w:rsidR="00104F78" w:rsidRDefault="00104F78">
      <w:pPr>
        <w:rPr>
          <w:rFonts w:cs="Arial"/>
        </w:rPr>
      </w:pPr>
    </w:p>
    <w:tbl>
      <w:tblPr>
        <w:tblStyle w:val="TableGrid"/>
        <w:tblW w:w="14400" w:type="dxa"/>
        <w:tblInd w:w="-5" w:type="dxa"/>
        <w:tblLook w:val="04A0" w:firstRow="1" w:lastRow="0" w:firstColumn="1" w:lastColumn="0" w:noHBand="0" w:noVBand="1"/>
      </w:tblPr>
      <w:tblGrid>
        <w:gridCol w:w="1350"/>
        <w:gridCol w:w="2880"/>
        <w:gridCol w:w="10170"/>
      </w:tblGrid>
      <w:tr w:rsidR="00B62C83" w14:paraId="12D7535A" w14:textId="77777777" w:rsidTr="009D047B">
        <w:tc>
          <w:tcPr>
            <w:tcW w:w="1350" w:type="dxa"/>
          </w:tcPr>
          <w:p w14:paraId="6FF695A4" w14:textId="75418836" w:rsidR="00B62C83" w:rsidRDefault="00B62C83">
            <w:pPr>
              <w:rPr>
                <w:rFonts w:cs="Arial"/>
                <w:b/>
                <w:bCs/>
              </w:rPr>
            </w:pPr>
            <w:r>
              <w:rPr>
                <w:rFonts w:cs="Arial"/>
                <w:b/>
                <w:bCs/>
              </w:rPr>
              <w:t>Date</w:t>
            </w:r>
          </w:p>
        </w:tc>
        <w:tc>
          <w:tcPr>
            <w:tcW w:w="2880" w:type="dxa"/>
          </w:tcPr>
          <w:p w14:paraId="61D7A1F9" w14:textId="2943358E" w:rsidR="00B62C83" w:rsidRDefault="00B62C83">
            <w:pPr>
              <w:rPr>
                <w:rFonts w:cs="Arial"/>
                <w:b/>
                <w:bCs/>
              </w:rPr>
            </w:pPr>
            <w:r>
              <w:rPr>
                <w:rFonts w:cs="Arial"/>
                <w:b/>
                <w:bCs/>
              </w:rPr>
              <w:t>Question</w:t>
            </w:r>
          </w:p>
        </w:tc>
        <w:tc>
          <w:tcPr>
            <w:tcW w:w="10170" w:type="dxa"/>
          </w:tcPr>
          <w:p w14:paraId="286DAECA" w14:textId="37DC7864" w:rsidR="00B62C83" w:rsidRDefault="00B62C83">
            <w:pPr>
              <w:rPr>
                <w:rFonts w:cs="Arial"/>
                <w:b/>
                <w:bCs/>
              </w:rPr>
            </w:pPr>
            <w:r>
              <w:rPr>
                <w:rFonts w:cs="Arial"/>
                <w:b/>
                <w:bCs/>
              </w:rPr>
              <w:t>Answer</w:t>
            </w:r>
          </w:p>
        </w:tc>
      </w:tr>
      <w:tr w:rsidR="00B62C83" w14:paraId="1B55C903" w14:textId="77777777" w:rsidTr="009D047B">
        <w:tc>
          <w:tcPr>
            <w:tcW w:w="1350" w:type="dxa"/>
            <w:shd w:val="clear" w:color="auto" w:fill="DAEEF3" w:themeFill="accent5" w:themeFillTint="33"/>
          </w:tcPr>
          <w:p w14:paraId="69A5609C" w14:textId="6EA8BBAE" w:rsidR="00B62C83" w:rsidRPr="00B62C83" w:rsidRDefault="00B62C83">
            <w:pPr>
              <w:rPr>
                <w:rFonts w:cs="Arial"/>
              </w:rPr>
            </w:pPr>
            <w:r w:rsidRPr="00B62C83">
              <w:rPr>
                <w:rFonts w:cs="Arial"/>
              </w:rPr>
              <w:t>7/30/24</w:t>
            </w:r>
          </w:p>
        </w:tc>
        <w:tc>
          <w:tcPr>
            <w:tcW w:w="2880" w:type="dxa"/>
            <w:shd w:val="clear" w:color="auto" w:fill="DAEEF3" w:themeFill="accent5" w:themeFillTint="33"/>
          </w:tcPr>
          <w:p w14:paraId="0878345D" w14:textId="7454E6DF" w:rsidR="00B62C83" w:rsidRPr="00B62C83" w:rsidRDefault="00B62C83">
            <w:pPr>
              <w:rPr>
                <w:rFonts w:cs="Arial"/>
              </w:rPr>
            </w:pPr>
            <w:r w:rsidRPr="00B62C83">
              <w:rPr>
                <w:rFonts w:cs="Arial"/>
              </w:rPr>
              <w:t xml:space="preserve">Are funds for programs/projects only? If so, do the projects need to be new or an expansion? Or can operating funds be requested? </w:t>
            </w:r>
          </w:p>
        </w:tc>
        <w:tc>
          <w:tcPr>
            <w:tcW w:w="10170" w:type="dxa"/>
            <w:shd w:val="clear" w:color="auto" w:fill="DAEEF3" w:themeFill="accent5" w:themeFillTint="33"/>
          </w:tcPr>
          <w:p w14:paraId="11BE2291" w14:textId="77777777" w:rsidR="00D86877" w:rsidRDefault="00D86877">
            <w:pPr>
              <w:rPr>
                <w:rFonts w:cs="Arial"/>
              </w:rPr>
            </w:pPr>
            <w:r w:rsidRPr="00D86877">
              <w:rPr>
                <w:rFonts w:cs="Arial"/>
              </w:rPr>
              <w:t xml:space="preserve">Funds can be used to expand existing services or programs or to create new services and programs.  </w:t>
            </w:r>
          </w:p>
          <w:p w14:paraId="12634C20" w14:textId="30C24E36" w:rsidR="00B62C83" w:rsidRDefault="00D86877">
            <w:pPr>
              <w:rPr>
                <w:rFonts w:cs="Arial"/>
              </w:rPr>
            </w:pPr>
            <w:r w:rsidRPr="00D86877">
              <w:rPr>
                <w:rFonts w:cs="Arial"/>
              </w:rPr>
              <w:t>Services and programs must align with the List of Opioid Remediation</w:t>
            </w:r>
            <w:r>
              <w:rPr>
                <w:rFonts w:cs="Arial"/>
              </w:rPr>
              <w:t xml:space="preserve">. </w:t>
            </w:r>
            <w:r w:rsidRPr="00D86877">
              <w:rPr>
                <w:rFonts w:cs="Arial"/>
              </w:rPr>
              <w:t>Uses included in the Opioid Settlement Memorandum of Agreement</w:t>
            </w:r>
            <w:r>
              <w:rPr>
                <w:rFonts w:cs="Arial"/>
              </w:rPr>
              <w:t xml:space="preserve"> beginning at Exhibit A. </w:t>
            </w:r>
          </w:p>
          <w:p w14:paraId="5A364F0C" w14:textId="3560E8BA" w:rsidR="009D047B" w:rsidRDefault="009D047B">
            <w:pPr>
              <w:rPr>
                <w:rFonts w:cs="Arial"/>
              </w:rPr>
            </w:pPr>
          </w:p>
          <w:p w14:paraId="0031317B" w14:textId="77777777" w:rsidR="00D86877" w:rsidRDefault="00D86877">
            <w:pPr>
              <w:rPr>
                <w:rFonts w:cs="Arial"/>
              </w:rPr>
            </w:pPr>
            <w:r>
              <w:rPr>
                <w:rFonts w:cs="Arial"/>
              </w:rPr>
              <w:t>O</w:t>
            </w:r>
            <w:r w:rsidRPr="00D86877">
              <w:rPr>
                <w:rFonts w:cs="Arial"/>
              </w:rPr>
              <w:t>perating expenses would be covered if it were shown that they were necessary to expand / create the services or programs. </w:t>
            </w:r>
            <w:r>
              <w:rPr>
                <w:rFonts w:cs="Arial"/>
              </w:rPr>
              <w:t>For example, i</w:t>
            </w:r>
            <w:r w:rsidRPr="00D86877">
              <w:rPr>
                <w:rFonts w:cs="Arial"/>
              </w:rPr>
              <w:t>f the</w:t>
            </w:r>
            <w:r>
              <w:rPr>
                <w:rFonts w:cs="Arial"/>
              </w:rPr>
              <w:t>re was a need</w:t>
            </w:r>
            <w:r w:rsidRPr="00D86877">
              <w:rPr>
                <w:rFonts w:cs="Arial"/>
              </w:rPr>
              <w:t xml:space="preserve"> to rent a facility to deliver a program, that would be covered. Staffing can be classified as operating costs, and that could be covered. </w:t>
            </w:r>
          </w:p>
          <w:p w14:paraId="1E1864E2" w14:textId="77777777" w:rsidR="009D047B" w:rsidRDefault="00D86877">
            <w:pPr>
              <w:rPr>
                <w:rStyle w:val="Hyperlink"/>
                <w:rFonts w:cs="Arial"/>
              </w:rPr>
            </w:pPr>
            <w:r w:rsidRPr="00D86877">
              <w:rPr>
                <w:rFonts w:cs="Arial"/>
              </w:rPr>
              <w:t>Source: </w:t>
            </w:r>
            <w:hyperlink r:id="rId6" w:tgtFrame="_blank" w:history="1">
              <w:r w:rsidRPr="00D86877">
                <w:rPr>
                  <w:rStyle w:val="Hyperlink"/>
                  <w:rFonts w:cs="Arial"/>
                </w:rPr>
                <w:t>MN_MoA.pdf (state.mn.us)</w:t>
              </w:r>
            </w:hyperlink>
            <w:r w:rsidR="009D047B">
              <w:rPr>
                <w:rStyle w:val="Hyperlink"/>
                <w:rFonts w:cs="Arial"/>
              </w:rPr>
              <w:t xml:space="preserve"> </w:t>
            </w:r>
          </w:p>
          <w:p w14:paraId="6385A550" w14:textId="77777777" w:rsidR="009D047B" w:rsidRDefault="009D047B">
            <w:pPr>
              <w:rPr>
                <w:rFonts w:cs="Arial"/>
              </w:rPr>
            </w:pPr>
            <w:r>
              <w:rPr>
                <w:rFonts w:cs="Arial"/>
              </w:rPr>
              <w:t xml:space="preserve">As a reminder: </w:t>
            </w:r>
          </w:p>
          <w:p w14:paraId="77631E7A" w14:textId="77777777" w:rsidR="009D047B" w:rsidRPr="009D047B" w:rsidRDefault="009D047B" w:rsidP="009D047B">
            <w:pPr>
              <w:rPr>
                <w:rFonts w:cs="Arial"/>
              </w:rPr>
            </w:pPr>
            <w:r w:rsidRPr="009D047B">
              <w:rPr>
                <w:rFonts w:cs="Arial"/>
              </w:rPr>
              <w:t>Ineligible Expenses</w:t>
            </w:r>
          </w:p>
          <w:p w14:paraId="30951C04" w14:textId="77777777" w:rsidR="009D047B" w:rsidRPr="009D047B" w:rsidRDefault="009D047B" w:rsidP="009D047B">
            <w:pPr>
              <w:rPr>
                <w:rFonts w:cs="Arial"/>
              </w:rPr>
            </w:pPr>
            <w:r w:rsidRPr="009D047B">
              <w:rPr>
                <w:rFonts w:cs="Arial"/>
              </w:rPr>
              <w:t>Ineligible expenses include but are not limited to:</w:t>
            </w:r>
          </w:p>
          <w:p w14:paraId="63609C4B" w14:textId="77777777" w:rsidR="009D047B" w:rsidRPr="009D047B" w:rsidRDefault="009D047B" w:rsidP="009D047B">
            <w:pPr>
              <w:rPr>
                <w:rFonts w:cs="Arial"/>
              </w:rPr>
            </w:pPr>
            <w:r w:rsidRPr="009D047B">
              <w:rPr>
                <w:rFonts w:cs="Arial"/>
              </w:rPr>
              <w:t>● Fundraising</w:t>
            </w:r>
          </w:p>
          <w:p w14:paraId="0C58D718" w14:textId="77777777" w:rsidR="009D047B" w:rsidRPr="009D047B" w:rsidRDefault="009D047B" w:rsidP="009D047B">
            <w:pPr>
              <w:rPr>
                <w:rFonts w:cs="Arial"/>
              </w:rPr>
            </w:pPr>
            <w:r w:rsidRPr="009D047B">
              <w:rPr>
                <w:rFonts w:cs="Arial"/>
              </w:rPr>
              <w:t>● Taxes, except sales tax on goods and services</w:t>
            </w:r>
          </w:p>
          <w:p w14:paraId="47407222" w14:textId="77777777" w:rsidR="009D047B" w:rsidRPr="009D047B" w:rsidRDefault="009D047B" w:rsidP="009D047B">
            <w:pPr>
              <w:rPr>
                <w:rFonts w:cs="Arial"/>
              </w:rPr>
            </w:pPr>
            <w:r w:rsidRPr="009D047B">
              <w:rPr>
                <w:rFonts w:cs="Arial"/>
              </w:rPr>
              <w:t>● Lobbyists, political contributions</w:t>
            </w:r>
          </w:p>
          <w:p w14:paraId="0E6767F5" w14:textId="77777777" w:rsidR="009D047B" w:rsidRPr="009D047B" w:rsidRDefault="009D047B" w:rsidP="009D047B">
            <w:pPr>
              <w:rPr>
                <w:rFonts w:cs="Arial"/>
              </w:rPr>
            </w:pPr>
            <w:r w:rsidRPr="009D047B">
              <w:rPr>
                <w:rFonts w:cs="Arial"/>
              </w:rPr>
              <w:t>● Bad debts, late payment fees, finance charges, or contingency funds</w:t>
            </w:r>
          </w:p>
          <w:p w14:paraId="300BE12B" w14:textId="3ABA9BB4" w:rsidR="009D047B" w:rsidRPr="009D047B" w:rsidRDefault="009D047B" w:rsidP="009D047B">
            <w:pPr>
              <w:rPr>
                <w:rFonts w:cs="Arial"/>
              </w:rPr>
            </w:pPr>
            <w:r w:rsidRPr="009D047B">
              <w:rPr>
                <w:rFonts w:cs="Arial"/>
              </w:rPr>
              <w:t xml:space="preserve">● Per the Memorandum of Agreement in effect with </w:t>
            </w:r>
            <w:r w:rsidR="000671B0">
              <w:rPr>
                <w:rFonts w:cs="Arial"/>
              </w:rPr>
              <w:t>each c</w:t>
            </w:r>
            <w:r w:rsidRPr="009D047B">
              <w:rPr>
                <w:rFonts w:cs="Arial"/>
              </w:rPr>
              <w:t>ounty, Opioid Settlement Funds can only be utilized for future remediation activities.</w:t>
            </w:r>
          </w:p>
          <w:p w14:paraId="067D98A6" w14:textId="6B8C68AB" w:rsidR="009D047B" w:rsidRPr="009D047B" w:rsidRDefault="009D047B">
            <w:pPr>
              <w:rPr>
                <w:rFonts w:cs="Arial"/>
                <w:color w:val="0000FF" w:themeColor="hyperlink"/>
                <w:u w:val="single"/>
              </w:rPr>
            </w:pPr>
          </w:p>
        </w:tc>
      </w:tr>
      <w:tr w:rsidR="00B62C83" w14:paraId="1E1E0454" w14:textId="77777777" w:rsidTr="009D047B">
        <w:tc>
          <w:tcPr>
            <w:tcW w:w="1350" w:type="dxa"/>
          </w:tcPr>
          <w:p w14:paraId="450D2E1D" w14:textId="11B1F2BC" w:rsidR="00B62C83" w:rsidRPr="00B62C83" w:rsidRDefault="00B62C83">
            <w:pPr>
              <w:rPr>
                <w:rFonts w:cs="Arial"/>
              </w:rPr>
            </w:pPr>
            <w:r w:rsidRPr="00B62C83">
              <w:rPr>
                <w:rFonts w:cs="Arial"/>
              </w:rPr>
              <w:t>7/31/2024</w:t>
            </w:r>
          </w:p>
        </w:tc>
        <w:tc>
          <w:tcPr>
            <w:tcW w:w="2880" w:type="dxa"/>
          </w:tcPr>
          <w:p w14:paraId="25AEE6F4" w14:textId="0DD956AA" w:rsidR="00B62C83" w:rsidRPr="00B62C83" w:rsidRDefault="00B62C83">
            <w:pPr>
              <w:rPr>
                <w:rFonts w:cs="Arial"/>
              </w:rPr>
            </w:pPr>
            <w:r w:rsidRPr="00B62C83">
              <w:rPr>
                <w:rFonts w:cs="Arial"/>
              </w:rPr>
              <w:t>Are the funds capped at $24K per county per year?</w:t>
            </w:r>
          </w:p>
        </w:tc>
        <w:tc>
          <w:tcPr>
            <w:tcW w:w="10170" w:type="dxa"/>
          </w:tcPr>
          <w:p w14:paraId="41DEDF01" w14:textId="43A141DC" w:rsidR="00B62C83" w:rsidRDefault="00B62C83">
            <w:pPr>
              <w:rPr>
                <w:rFonts w:cs="Arial"/>
                <w:b/>
                <w:bCs/>
              </w:rPr>
            </w:pPr>
            <w:r>
              <w:rPr>
                <w:rFonts w:cs="Arial"/>
              </w:rPr>
              <w:t>No, the funds are capped at $24K per project, per county, per year until funds are no longer available.</w:t>
            </w:r>
          </w:p>
        </w:tc>
      </w:tr>
      <w:tr w:rsidR="00B62C83" w14:paraId="0E0B8230" w14:textId="77777777" w:rsidTr="009D047B">
        <w:tc>
          <w:tcPr>
            <w:tcW w:w="1350" w:type="dxa"/>
            <w:shd w:val="clear" w:color="auto" w:fill="DAEEF3" w:themeFill="accent5" w:themeFillTint="33"/>
          </w:tcPr>
          <w:p w14:paraId="0098D1A0" w14:textId="0204336C" w:rsidR="00B62C83" w:rsidRPr="00B62C83" w:rsidRDefault="00B62C83">
            <w:pPr>
              <w:rPr>
                <w:rFonts w:cs="Arial"/>
              </w:rPr>
            </w:pPr>
            <w:r w:rsidRPr="00B62C83">
              <w:rPr>
                <w:rFonts w:cs="Arial"/>
              </w:rPr>
              <w:t>8/2/2024</w:t>
            </w:r>
          </w:p>
        </w:tc>
        <w:tc>
          <w:tcPr>
            <w:tcW w:w="2880" w:type="dxa"/>
            <w:shd w:val="clear" w:color="auto" w:fill="DAEEF3" w:themeFill="accent5" w:themeFillTint="33"/>
          </w:tcPr>
          <w:p w14:paraId="01AEA911" w14:textId="39CB2D97" w:rsidR="00B62C83" w:rsidRPr="00B62C83" w:rsidRDefault="00B62C83">
            <w:pPr>
              <w:rPr>
                <w:rFonts w:cs="Arial"/>
              </w:rPr>
            </w:pPr>
            <w:r w:rsidRPr="00B62C83">
              <w:rPr>
                <w:rFonts w:cs="Arial"/>
              </w:rPr>
              <w:t>For the Opioid Settlement Funds, is there a specific format for the letter of intent or specific components you need?</w:t>
            </w:r>
          </w:p>
        </w:tc>
        <w:tc>
          <w:tcPr>
            <w:tcW w:w="10170" w:type="dxa"/>
            <w:shd w:val="clear" w:color="auto" w:fill="DAEEF3" w:themeFill="accent5" w:themeFillTint="33"/>
          </w:tcPr>
          <w:p w14:paraId="5F5056E6" w14:textId="77777777" w:rsidR="00B62C83" w:rsidRPr="00747486" w:rsidRDefault="00B62C83" w:rsidP="00B62C83">
            <w:pPr>
              <w:rPr>
                <w:rFonts w:cs="Arial"/>
              </w:rPr>
            </w:pPr>
            <w:r w:rsidRPr="00B62C83">
              <w:rPr>
                <w:rFonts w:cs="Arial"/>
              </w:rPr>
              <w:t xml:space="preserve">Letters of Intent are requested, </w:t>
            </w:r>
            <w:r w:rsidRPr="00B62C83">
              <w:rPr>
                <w:rFonts w:cs="Arial"/>
                <w:b/>
                <w:bCs/>
              </w:rPr>
              <w:t>not required,</w:t>
            </w:r>
            <w:r w:rsidRPr="00B62C83">
              <w:rPr>
                <w:rFonts w:cs="Arial"/>
              </w:rPr>
              <w:t xml:space="preserve"> and not used as a screening tool. There are no required components in the Letter of Intent. The content provided is determined by the applicant. There is no scoring component to the Letter of Intent. Letters of Intent are used to assist staff in planning for adequate agency resources to complete the proposal review process. Please email the Letter of Intent to Caroline McCourt at caroline.mccourt@fmchs.com</w:t>
            </w:r>
          </w:p>
          <w:p w14:paraId="24989EA9" w14:textId="77777777" w:rsidR="00B62C83" w:rsidRDefault="00B62C83">
            <w:pPr>
              <w:rPr>
                <w:rFonts w:cs="Arial"/>
                <w:b/>
                <w:bCs/>
              </w:rPr>
            </w:pPr>
          </w:p>
        </w:tc>
      </w:tr>
    </w:tbl>
    <w:p w14:paraId="5DC6B0F4" w14:textId="77777777" w:rsidR="00104F78" w:rsidRDefault="00104F78" w:rsidP="009D047B">
      <w:pPr>
        <w:rPr>
          <w:rFonts w:cs="Arial"/>
        </w:rPr>
      </w:pPr>
    </w:p>
    <w:sectPr w:rsidR="00104F78" w:rsidSect="009D047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D9792" w14:textId="77777777" w:rsidR="008477EA" w:rsidRDefault="008477EA" w:rsidP="009D047B">
      <w:r>
        <w:separator/>
      </w:r>
    </w:p>
  </w:endnote>
  <w:endnote w:type="continuationSeparator" w:id="0">
    <w:p w14:paraId="01B41F70" w14:textId="77777777" w:rsidR="008477EA" w:rsidRDefault="008477EA" w:rsidP="009D0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97195" w14:textId="77777777" w:rsidR="008477EA" w:rsidRDefault="008477EA" w:rsidP="009D047B">
      <w:r>
        <w:separator/>
      </w:r>
    </w:p>
  </w:footnote>
  <w:footnote w:type="continuationSeparator" w:id="0">
    <w:p w14:paraId="537C3D5B" w14:textId="77777777" w:rsidR="008477EA" w:rsidRDefault="008477EA" w:rsidP="009D04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78"/>
    <w:rsid w:val="0005132E"/>
    <w:rsid w:val="000671B0"/>
    <w:rsid w:val="00104F78"/>
    <w:rsid w:val="00664266"/>
    <w:rsid w:val="006D6B38"/>
    <w:rsid w:val="00747486"/>
    <w:rsid w:val="00765B25"/>
    <w:rsid w:val="00781EF3"/>
    <w:rsid w:val="008477EA"/>
    <w:rsid w:val="009D047B"/>
    <w:rsid w:val="00A401F4"/>
    <w:rsid w:val="00AD3B07"/>
    <w:rsid w:val="00B62C83"/>
    <w:rsid w:val="00B951BA"/>
    <w:rsid w:val="00D86877"/>
    <w:rsid w:val="00DD3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8FB6"/>
  <w15:chartTrackingRefBased/>
  <w15:docId w15:val="{7EA0DC34-FA7C-4408-A9FD-E2929F36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2E"/>
    <w:pPr>
      <w:spacing w:after="0" w:line="240" w:lineRule="auto"/>
    </w:pPr>
    <w:rPr>
      <w:rFonts w:ascii="Arial" w:hAnsi="Arial"/>
      <w:sz w:val="24"/>
    </w:rPr>
  </w:style>
  <w:style w:type="paragraph" w:styleId="Heading1">
    <w:name w:val="heading 1"/>
    <w:basedOn w:val="Normal"/>
    <w:next w:val="Normal"/>
    <w:link w:val="Heading1Char"/>
    <w:uiPriority w:val="9"/>
    <w:qFormat/>
    <w:rsid w:val="00104F7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04F7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04F78"/>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04F7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04F78"/>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104F7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4F7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4F7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4F7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F7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04F7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04F7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04F78"/>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104F78"/>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104F78"/>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04F78"/>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04F7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04F7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04F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F7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F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4F78"/>
    <w:rPr>
      <w:rFonts w:ascii="Arial" w:hAnsi="Arial"/>
      <w:i/>
      <w:iCs/>
      <w:color w:val="404040" w:themeColor="text1" w:themeTint="BF"/>
      <w:sz w:val="24"/>
    </w:rPr>
  </w:style>
  <w:style w:type="paragraph" w:styleId="ListParagraph">
    <w:name w:val="List Paragraph"/>
    <w:basedOn w:val="Normal"/>
    <w:uiPriority w:val="34"/>
    <w:qFormat/>
    <w:rsid w:val="00104F78"/>
    <w:pPr>
      <w:ind w:left="720"/>
      <w:contextualSpacing/>
    </w:pPr>
  </w:style>
  <w:style w:type="character" w:styleId="IntenseEmphasis">
    <w:name w:val="Intense Emphasis"/>
    <w:basedOn w:val="DefaultParagraphFont"/>
    <w:uiPriority w:val="21"/>
    <w:qFormat/>
    <w:rsid w:val="00104F78"/>
    <w:rPr>
      <w:i/>
      <w:iCs/>
      <w:color w:val="365F91" w:themeColor="accent1" w:themeShade="BF"/>
    </w:rPr>
  </w:style>
  <w:style w:type="paragraph" w:styleId="IntenseQuote">
    <w:name w:val="Intense Quote"/>
    <w:basedOn w:val="Normal"/>
    <w:next w:val="Normal"/>
    <w:link w:val="IntenseQuoteChar"/>
    <w:uiPriority w:val="30"/>
    <w:qFormat/>
    <w:rsid w:val="00104F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04F78"/>
    <w:rPr>
      <w:rFonts w:ascii="Arial" w:hAnsi="Arial"/>
      <w:i/>
      <w:iCs/>
      <w:color w:val="365F91" w:themeColor="accent1" w:themeShade="BF"/>
      <w:sz w:val="24"/>
    </w:rPr>
  </w:style>
  <w:style w:type="character" w:styleId="IntenseReference">
    <w:name w:val="Intense Reference"/>
    <w:basedOn w:val="DefaultParagraphFont"/>
    <w:uiPriority w:val="32"/>
    <w:qFormat/>
    <w:rsid w:val="00104F78"/>
    <w:rPr>
      <w:b/>
      <w:bCs/>
      <w:smallCaps/>
      <w:color w:val="365F91" w:themeColor="accent1" w:themeShade="BF"/>
      <w:spacing w:val="5"/>
    </w:rPr>
  </w:style>
  <w:style w:type="character" w:styleId="Hyperlink">
    <w:name w:val="Hyperlink"/>
    <w:basedOn w:val="DefaultParagraphFont"/>
    <w:uiPriority w:val="99"/>
    <w:unhideWhenUsed/>
    <w:rsid w:val="00DD3CEA"/>
    <w:rPr>
      <w:color w:val="0000FF" w:themeColor="hyperlink"/>
      <w:u w:val="single"/>
    </w:rPr>
  </w:style>
  <w:style w:type="character" w:styleId="UnresolvedMention">
    <w:name w:val="Unresolved Mention"/>
    <w:basedOn w:val="DefaultParagraphFont"/>
    <w:uiPriority w:val="99"/>
    <w:semiHidden/>
    <w:unhideWhenUsed/>
    <w:rsid w:val="00DD3CEA"/>
    <w:rPr>
      <w:color w:val="605E5C"/>
      <w:shd w:val="clear" w:color="auto" w:fill="E1DFDD"/>
    </w:rPr>
  </w:style>
  <w:style w:type="table" w:styleId="TableGrid">
    <w:name w:val="Table Grid"/>
    <w:basedOn w:val="TableNormal"/>
    <w:uiPriority w:val="59"/>
    <w:rsid w:val="00B62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047B"/>
    <w:pPr>
      <w:tabs>
        <w:tab w:val="center" w:pos="4680"/>
        <w:tab w:val="right" w:pos="9360"/>
      </w:tabs>
    </w:pPr>
  </w:style>
  <w:style w:type="character" w:customStyle="1" w:styleId="HeaderChar">
    <w:name w:val="Header Char"/>
    <w:basedOn w:val="DefaultParagraphFont"/>
    <w:link w:val="Header"/>
    <w:uiPriority w:val="99"/>
    <w:rsid w:val="009D047B"/>
    <w:rPr>
      <w:rFonts w:ascii="Arial" w:hAnsi="Arial"/>
      <w:sz w:val="24"/>
    </w:rPr>
  </w:style>
  <w:style w:type="paragraph" w:styleId="Footer">
    <w:name w:val="footer"/>
    <w:basedOn w:val="Normal"/>
    <w:link w:val="FooterChar"/>
    <w:uiPriority w:val="99"/>
    <w:unhideWhenUsed/>
    <w:rsid w:val="009D047B"/>
    <w:pPr>
      <w:tabs>
        <w:tab w:val="center" w:pos="4680"/>
        <w:tab w:val="right" w:pos="9360"/>
      </w:tabs>
    </w:pPr>
  </w:style>
  <w:style w:type="character" w:customStyle="1" w:styleId="FooterChar">
    <w:name w:val="Footer Char"/>
    <w:basedOn w:val="DefaultParagraphFont"/>
    <w:link w:val="Footer"/>
    <w:uiPriority w:val="99"/>
    <w:rsid w:val="009D047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369220">
      <w:bodyDiv w:val="1"/>
      <w:marLeft w:val="0"/>
      <w:marRight w:val="0"/>
      <w:marTop w:val="0"/>
      <w:marBottom w:val="0"/>
      <w:divBdr>
        <w:top w:val="none" w:sz="0" w:space="0" w:color="auto"/>
        <w:left w:val="none" w:sz="0" w:space="0" w:color="auto"/>
        <w:bottom w:val="none" w:sz="0" w:space="0" w:color="auto"/>
        <w:right w:val="none" w:sz="0" w:space="0" w:color="auto"/>
      </w:divBdr>
    </w:div>
    <w:div w:id="88421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g.state.mn.us/Opioids/docs/MN_MoA.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305</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Human Services of Faribault and Martin Counties</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 McCourt</dc:creator>
  <cp:keywords/>
  <dc:description/>
  <cp:lastModifiedBy>Caroline A. McCourt</cp:lastModifiedBy>
  <cp:revision>4</cp:revision>
  <dcterms:created xsi:type="dcterms:W3CDTF">2024-08-07T21:44:00Z</dcterms:created>
  <dcterms:modified xsi:type="dcterms:W3CDTF">2024-08-08T22:33:00Z</dcterms:modified>
</cp:coreProperties>
</file>